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年蓬安县招引人才岗位及条件要求一览表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/>
          <w:sz w:val="28"/>
          <w:szCs w:val="28"/>
        </w:rPr>
        <w:t>（合同制引进）</w:t>
      </w:r>
    </w:p>
    <w:tbl>
      <w:tblPr>
        <w:tblStyle w:val="3"/>
        <w:tblW w:w="9977" w:type="dxa"/>
        <w:jc w:val="center"/>
        <w:tblInd w:w="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3376"/>
        <w:gridCol w:w="1022"/>
        <w:gridCol w:w="1942"/>
        <w:gridCol w:w="2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tblHeader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招引人数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中国语言文学、历史学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2019063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2年以上基层工作经验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2019064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2019065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道路与桥梁、交通运输、安全工程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2019066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金融学、金融工程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2019068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2019069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旅游规划设计、管理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2019070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汉语言文学、中文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2019072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招引单位：南充常丰农业发展有限公司（国企）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相关要求：拟任总经理职位，有经营管理经验，任副总2年及以上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7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2019073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管理、营销类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招引单位：南充常丰农业发展有限公司（国企）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相关要求：拟任总经理助理职位，2年及以上营销管理工作经验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2019074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工程造价、工程建筑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招引单位：四川蓬鑫投资发展有限责任公司（国企）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相关要求：从事项目建设工作2年以上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2019075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财务、会计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招引单位：四川马回电力股份有限公司（国企）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2019076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招引单位：四川马回电力股份有限公司（国企）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招引单位：蓬安相如旅游开发有限责任公司（国企）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相关要求：取得导游证，形象气质佳（限女性）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2019078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机械与模具设计和维修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招引单位：南充旭阳塑料制造有限公司（私企）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相关要求：从事相关工作3年以上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2019079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高分子材料及复合材料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招引单位：南充旭阳塑料制造有限公司（私企）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2019080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动物医学、动物科学、畜牧兽医、化学等相关专业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招引单位：南充特驱饲料有限公司（私企）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相关要求：提供基本社会保险、住房福利、带薪假期、异地补贴、防寒取暖补贴、节日庆祝费、生日慰问费、健康福利等员工福利。仓库管理需要有相关工作经验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食品加工、机械制造等相关专业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2019082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仓库管理相关工作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b/>
          <w:kern w:val="0"/>
          <w:szCs w:val="21"/>
        </w:rPr>
      </w:pPr>
    </w:p>
    <w:p>
      <w:pPr>
        <w:spacing w:line="300" w:lineRule="exact"/>
        <w:ind w:firstLine="482" w:firstLineChars="200"/>
        <w:rPr>
          <w:rFonts w:hint="default" w:ascii="Times New Roman" w:hAnsi="Times New Roman" w:cs="Times New Roman"/>
          <w:b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备注：本科为30周岁以下（198</w:t>
      </w:r>
      <w:r>
        <w:rPr>
          <w:rFonts w:hint="eastAsia" w:ascii="Times New Roman" w:hAnsi="Times New Roman" w:cs="Times New Roman"/>
          <w:b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年7月1日之后出生）</w:t>
      </w:r>
      <w:r>
        <w:rPr>
          <w:rFonts w:hint="eastAsia" w:ascii="Times New Roman" w:hAnsi="Times New Roman" w:cs="Times New Roman"/>
          <w:b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硕士研究生为35周岁以下（198</w:t>
      </w:r>
      <w:r>
        <w:rPr>
          <w:rFonts w:hint="eastAsia" w:ascii="Times New Roman" w:hAnsi="Times New Roman" w:cs="Times New Roman"/>
          <w:b/>
          <w:kern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年7月1日之后出生）。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70BCB"/>
    <w:rsid w:val="555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2019-03-26T08:59:00Z</dcterms:created>
  <dc:creator>%E8%B5%B5%E5%85%B6%E6%B5%B7</dc:creator>
  <cp:lastModifiedBy>%E8%B5%B5%E5%85%B6%E6%B5%B7</cp:lastModifiedBy>
  <dcterms:modified xsi:type="dcterms:W3CDTF">2019-03-26T08:59:21Z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