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0" w:tblpY="250"/>
        <w:tblOverlap w:val="never"/>
        <w:tblW w:w="15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538"/>
        <w:gridCol w:w="551"/>
        <w:gridCol w:w="1162"/>
        <w:gridCol w:w="1161"/>
        <w:gridCol w:w="1138"/>
        <w:gridCol w:w="1933"/>
        <w:gridCol w:w="1162"/>
        <w:gridCol w:w="4077"/>
        <w:gridCol w:w="1303"/>
      </w:tblGrid>
      <w:tr w:rsidR="007B2CB8" w:rsidTr="00D05EEF">
        <w:trPr>
          <w:trHeight w:val="402"/>
        </w:trPr>
        <w:tc>
          <w:tcPr>
            <w:tcW w:w="15360" w:type="dxa"/>
            <w:gridSpan w:val="10"/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附件1-2：</w:t>
            </w:r>
          </w:p>
        </w:tc>
      </w:tr>
      <w:tr w:rsidR="007B2CB8" w:rsidTr="00D05EEF">
        <w:trPr>
          <w:trHeight w:val="675"/>
        </w:trPr>
        <w:tc>
          <w:tcPr>
            <w:tcW w:w="15360" w:type="dxa"/>
            <w:gridSpan w:val="10"/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成都市蒲江县2016年公开选调事业单位工作人员岗位表（二）</w:t>
            </w:r>
          </w:p>
        </w:tc>
      </w:tr>
      <w:tr w:rsidR="007B2CB8" w:rsidTr="00D05EEF">
        <w:trPr>
          <w:trHeight w:val="590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选调单位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选调人数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选调岗位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资格条件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7B2CB8" w:rsidTr="00D05EEF">
        <w:trPr>
          <w:trHeight w:val="70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事业机构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岗位类别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CB8" w:rsidRDefault="007B2CB8" w:rsidP="00D05EEF">
            <w:pPr>
              <w:widowControl/>
              <w:jc w:val="center"/>
              <w:textAlignment w:val="top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蒲江县人民医院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五官科医师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取得执业医师资格,年龄30周岁及以下（1986年8月12日及以后出生）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蒲江县人民医院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超声诊断医师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取得执业医师资格,年龄30周岁及以下（1986年8月12日及以后出生）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蒲江县人民医院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放射诊断医师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取得执业医师资格,年龄30周岁及以下（1986年8月12日及以后出生）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蒲江县人民医院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肾内科医师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取得执业医师资格,年龄30周岁及以下（1986年8月12日及以后出生）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蒲江县人民医院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胸外科医师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取得执业医师资格,年龄30周岁及以下（1986年8月12日及以后出生）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蒲江县疾病预防控制中心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传染病防治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普通高校全日制本科及以上，具有学士学位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预防医学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取得执业医师资格,年龄35周岁及以下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153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蒲江县妇幼保健院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儿科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普通高校全日制专科及以上学历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全日制专科学历者需取得执业医师资格证。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年龄35周岁及以下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，副高级职称可放宽到45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岁以下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（1971年8月12日及以后出生）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153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蒲江县妇幼保健院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普通高校全日制专科及以上学历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全日制专科学历者需取得执业医师资格证。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年龄35周岁及以下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，副高级职称可放宽到45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岁以下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（1971年8月12日及以后出生）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133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蒲江县妇幼保健院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麻醉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02009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普通高校全日制专科及以上学历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麻醉专业或临床医学专业转麻醉岗位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全日制专科学历者需取得执业医师资格证且注册执业范围麻醉。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133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蒲江县妇幼保健院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检验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普通高校全日制专科及以上学历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全日制专科学历者需取得医学检验中级及以上职称；全日制本科学历者需取得检验师及以上职称;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蒲江县中医医院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普通高校全日制本科及以上学历，具有相应的学位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神经外科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取得中级及以上职称，曾到三甲医院神经外科进修学习1年以上;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9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蒲江县中医医院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普通高校全日制本科及以上学历，具有相应的学位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消化内科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取得中级及以上职称，能熟练操作电子胃肠镜;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B2CB8" w:rsidTr="00D05EEF">
        <w:trPr>
          <w:trHeight w:val="10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县卫计局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蒲江县中医医院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02013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普通高校全日制本科及以上学历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普通外科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具有相应的学位，且取得执业医师资格，独立从事肛肠科工作3年以上;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CB8" w:rsidRDefault="007B2CB8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AA79AB" w:rsidRDefault="007B2CB8">
      <w:r>
        <w:rPr>
          <w:rFonts w:ascii="仿宋" w:eastAsia="仿宋" w:hAnsi="仿宋" w:cs="仿宋" w:hint="eastAsia"/>
          <w:sz w:val="30"/>
          <w:szCs w:val="30"/>
        </w:rPr>
        <w:t>注：蒲江县人民医院、蒲江县中医医院为差额事业单位。</w:t>
      </w:r>
    </w:p>
    <w:sectPr w:rsidR="00AA79AB" w:rsidSect="007B2C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AB" w:rsidRDefault="00AA79AB" w:rsidP="007B2CB8">
      <w:r>
        <w:separator/>
      </w:r>
    </w:p>
  </w:endnote>
  <w:endnote w:type="continuationSeparator" w:id="1">
    <w:p w:rsidR="00AA79AB" w:rsidRDefault="00AA79AB" w:rsidP="007B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AB" w:rsidRDefault="00AA79AB" w:rsidP="007B2CB8">
      <w:r>
        <w:separator/>
      </w:r>
    </w:p>
  </w:footnote>
  <w:footnote w:type="continuationSeparator" w:id="1">
    <w:p w:rsidR="00AA79AB" w:rsidRDefault="00AA79AB" w:rsidP="007B2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B8"/>
    <w:rsid w:val="007B2CB8"/>
    <w:rsid w:val="00A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> 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2016-08-15T01:10:00Z</dcterms:created>
  <dcterms:modified xsi:type="dcterms:W3CDTF">2016-08-15T01:10:00Z</dcterms:modified>
</cp:coreProperties>
</file>