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D4" w:rsidRDefault="00014FD4" w:rsidP="00014FD4">
      <w:pPr>
        <w:spacing w:line="52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附件2</w:t>
      </w:r>
    </w:p>
    <w:p w:rsidR="00014FD4" w:rsidRDefault="00014FD4" w:rsidP="00014FD4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9D4B35">
        <w:rPr>
          <w:rFonts w:ascii="宋体" w:hAnsi="宋体" w:hint="eastAsia"/>
          <w:b/>
          <w:color w:val="000000"/>
          <w:sz w:val="44"/>
          <w:szCs w:val="44"/>
        </w:rPr>
        <w:t>公开选调人民警察职位表</w:t>
      </w:r>
    </w:p>
    <w:p w:rsidR="00014FD4" w:rsidRPr="009D4B35" w:rsidRDefault="00014FD4" w:rsidP="00014FD4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186"/>
        <w:gridCol w:w="888"/>
        <w:gridCol w:w="1295"/>
        <w:gridCol w:w="1134"/>
        <w:gridCol w:w="850"/>
        <w:gridCol w:w="577"/>
        <w:gridCol w:w="2258"/>
        <w:gridCol w:w="1418"/>
        <w:gridCol w:w="992"/>
        <w:gridCol w:w="850"/>
        <w:gridCol w:w="2552"/>
      </w:tblGrid>
      <w:tr w:rsidR="00014FD4" w:rsidTr="00E4485E">
        <w:tc>
          <w:tcPr>
            <w:tcW w:w="1186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招考</w:t>
            </w:r>
          </w:p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88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选调范围</w:t>
            </w:r>
          </w:p>
        </w:tc>
        <w:tc>
          <w:tcPr>
            <w:tcW w:w="1295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选调职位类别</w:t>
            </w:r>
          </w:p>
        </w:tc>
        <w:tc>
          <w:tcPr>
            <w:tcW w:w="1134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选调 职位</w:t>
            </w:r>
          </w:p>
        </w:tc>
        <w:tc>
          <w:tcPr>
            <w:tcW w:w="850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选调人数</w:t>
            </w:r>
          </w:p>
        </w:tc>
        <w:tc>
          <w:tcPr>
            <w:tcW w:w="577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58" w:type="dxa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最高</w:t>
            </w:r>
          </w:p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552" w:type="dxa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014FD4" w:rsidTr="00E4485E">
        <w:trPr>
          <w:trHeight w:val="1210"/>
        </w:trPr>
        <w:tc>
          <w:tcPr>
            <w:tcW w:w="1186" w:type="dxa"/>
            <w:vMerge w:val="restart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深圳市</w:t>
            </w:r>
          </w:p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公安局</w:t>
            </w:r>
          </w:p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森林分局</w:t>
            </w:r>
          </w:p>
        </w:tc>
        <w:tc>
          <w:tcPr>
            <w:tcW w:w="888" w:type="dxa"/>
            <w:vMerge w:val="restart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全国公安机关</w:t>
            </w:r>
          </w:p>
        </w:tc>
        <w:tc>
          <w:tcPr>
            <w:tcW w:w="1295" w:type="dxa"/>
            <w:vMerge w:val="restart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行政执法类（警察）</w:t>
            </w:r>
          </w:p>
        </w:tc>
        <w:tc>
          <w:tcPr>
            <w:tcW w:w="1134" w:type="dxa"/>
            <w:vAlign w:val="center"/>
          </w:tcPr>
          <w:p w:rsidR="00014FD4" w:rsidRPr="009D4B35" w:rsidRDefault="00014FD4" w:rsidP="00E4485E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刑事警察警员</w:t>
            </w:r>
          </w:p>
        </w:tc>
        <w:tc>
          <w:tcPr>
            <w:tcW w:w="850" w:type="dxa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77" w:type="dxa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2258" w:type="dxa"/>
            <w:vMerge w:val="restart"/>
          </w:tcPr>
          <w:p w:rsidR="00014FD4" w:rsidRDefault="00014FD4" w:rsidP="00E4485E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本科：公安学类（其中：治安学、侦查学、公安情报学、公安管理学、警务指挥与战术等专业优先）；研究生：参照本科专业。</w:t>
            </w:r>
          </w:p>
        </w:tc>
        <w:tc>
          <w:tcPr>
            <w:tcW w:w="1418" w:type="dxa"/>
            <w:vMerge w:val="restart"/>
            <w:vAlign w:val="center"/>
          </w:tcPr>
          <w:p w:rsidR="00014FD4" w:rsidRPr="009D4B35" w:rsidRDefault="00014FD4" w:rsidP="00E4485E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深圳市外公务员年龄不超过30周岁；市内公务员年龄放宽至35周岁。</w:t>
            </w:r>
          </w:p>
        </w:tc>
        <w:tc>
          <w:tcPr>
            <w:tcW w:w="992" w:type="dxa"/>
            <w:vMerge w:val="restart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全日制普通高等院校</w:t>
            </w:r>
          </w:p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850" w:type="dxa"/>
            <w:vMerge w:val="restart"/>
            <w:vAlign w:val="center"/>
          </w:tcPr>
          <w:p w:rsidR="00014FD4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学士</w:t>
            </w:r>
          </w:p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及以上</w:t>
            </w:r>
          </w:p>
        </w:tc>
        <w:tc>
          <w:tcPr>
            <w:tcW w:w="2552" w:type="dxa"/>
            <w:vMerge w:val="restart"/>
          </w:tcPr>
          <w:p w:rsidR="00014FD4" w:rsidRDefault="00014FD4" w:rsidP="00E4485E">
            <w:pPr>
              <w:pStyle w:val="a4"/>
              <w:numPr>
                <w:ilvl w:val="0"/>
                <w:numId w:val="1"/>
              </w:numPr>
              <w:spacing w:line="360" w:lineRule="exact"/>
              <w:ind w:left="357" w:firstLineChars="0" w:hanging="357"/>
              <w:jc w:val="left"/>
              <w:rPr>
                <w:rFonts w:ascii="宋体" w:hAnsi="宋体"/>
                <w:color w:val="000000"/>
                <w:szCs w:val="21"/>
              </w:rPr>
            </w:pPr>
            <w:r w:rsidRPr="008B5918">
              <w:rPr>
                <w:rFonts w:ascii="宋体" w:hAnsi="宋体" w:hint="eastAsia"/>
                <w:color w:val="000000"/>
                <w:szCs w:val="21"/>
              </w:rPr>
              <w:t>按深圳市有关规定，</w:t>
            </w:r>
          </w:p>
          <w:p w:rsidR="00014FD4" w:rsidRPr="008B5918" w:rsidRDefault="00014FD4" w:rsidP="00E4485E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8B5918">
              <w:rPr>
                <w:rFonts w:ascii="宋体" w:hAnsi="宋体" w:hint="eastAsia"/>
                <w:color w:val="000000"/>
                <w:szCs w:val="21"/>
              </w:rPr>
              <w:t>如市外公务员考取，将转任为深圳市聘任制公务员。</w:t>
            </w:r>
          </w:p>
          <w:p w:rsidR="00014FD4" w:rsidRDefault="00014FD4" w:rsidP="00E4485E">
            <w:pPr>
              <w:pStyle w:val="a4"/>
              <w:numPr>
                <w:ilvl w:val="0"/>
                <w:numId w:val="1"/>
              </w:numPr>
              <w:spacing w:line="360" w:lineRule="exact"/>
              <w:ind w:left="357" w:firstLineChars="0" w:hanging="357"/>
              <w:jc w:val="left"/>
              <w:rPr>
                <w:rFonts w:ascii="宋体" w:hAnsi="宋体"/>
                <w:color w:val="000000"/>
                <w:szCs w:val="21"/>
              </w:rPr>
            </w:pPr>
            <w:r w:rsidRPr="008B5918">
              <w:rPr>
                <w:rFonts w:ascii="宋体" w:hAnsi="宋体" w:hint="eastAsia"/>
                <w:color w:val="000000"/>
                <w:szCs w:val="21"/>
              </w:rPr>
              <w:t>本次选调的人员</w:t>
            </w:r>
            <w:r>
              <w:rPr>
                <w:rFonts w:ascii="宋体" w:hAnsi="宋体" w:hint="eastAsia"/>
                <w:color w:val="000000"/>
                <w:szCs w:val="21"/>
              </w:rPr>
              <w:t>如</w:t>
            </w:r>
          </w:p>
          <w:p w:rsidR="00014FD4" w:rsidRPr="008B5918" w:rsidRDefault="00014FD4" w:rsidP="00E4485E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8542B3">
              <w:rPr>
                <w:rFonts w:ascii="宋体" w:hAnsi="宋体" w:hint="eastAsia"/>
                <w:color w:val="000000"/>
                <w:szCs w:val="21"/>
              </w:rPr>
              <w:t>考取，须</w:t>
            </w:r>
            <w:r w:rsidRPr="008B5918">
              <w:rPr>
                <w:rFonts w:ascii="宋体" w:hAnsi="宋体" w:hint="eastAsia"/>
                <w:color w:val="000000"/>
                <w:szCs w:val="21"/>
              </w:rPr>
              <w:t>提供</w:t>
            </w:r>
            <w:r>
              <w:rPr>
                <w:rFonts w:ascii="宋体" w:hAnsi="宋体" w:hint="eastAsia"/>
                <w:color w:val="000000"/>
                <w:szCs w:val="21"/>
              </w:rPr>
              <w:t>在</w:t>
            </w:r>
            <w:r w:rsidRPr="008B5918">
              <w:rPr>
                <w:rFonts w:ascii="宋体" w:hAnsi="宋体" w:hint="eastAsia"/>
                <w:color w:val="000000"/>
                <w:szCs w:val="21"/>
              </w:rPr>
              <w:t>深圳市公安局森林分局服务年限不少于五年且服从工作</w:t>
            </w: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  <w:r w:rsidRPr="008B5918">
              <w:rPr>
                <w:rFonts w:ascii="宋体" w:hAnsi="宋体" w:hint="eastAsia"/>
                <w:color w:val="000000"/>
                <w:szCs w:val="21"/>
              </w:rPr>
              <w:t>安排</w:t>
            </w:r>
            <w:r>
              <w:rPr>
                <w:rFonts w:ascii="宋体" w:hAnsi="宋体" w:hint="eastAsia"/>
                <w:color w:val="000000"/>
                <w:szCs w:val="21"/>
              </w:rPr>
              <w:t>的书面承诺。</w:t>
            </w:r>
          </w:p>
          <w:p w:rsidR="00014FD4" w:rsidRPr="00603912" w:rsidRDefault="00014FD4" w:rsidP="00E4485E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14FD4" w:rsidTr="00E4485E">
        <w:tc>
          <w:tcPr>
            <w:tcW w:w="1186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14FD4" w:rsidRPr="009D4B35" w:rsidRDefault="00014FD4" w:rsidP="00E4485E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治安警察警员</w:t>
            </w:r>
          </w:p>
        </w:tc>
        <w:tc>
          <w:tcPr>
            <w:tcW w:w="850" w:type="dxa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2258" w:type="dxa"/>
            <w:vMerge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Merge/>
          </w:tcPr>
          <w:p w:rsidR="00014FD4" w:rsidRPr="009D4B35" w:rsidRDefault="00014FD4" w:rsidP="00E4485E">
            <w:pPr>
              <w:spacing w:line="5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14FD4" w:rsidTr="00E4485E">
        <w:tc>
          <w:tcPr>
            <w:tcW w:w="1186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14FD4" w:rsidRPr="009D4B35" w:rsidRDefault="00014FD4" w:rsidP="00E4485E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网络管理警员</w:t>
            </w:r>
          </w:p>
        </w:tc>
        <w:tc>
          <w:tcPr>
            <w:tcW w:w="850" w:type="dxa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77" w:type="dxa"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B35">
              <w:rPr>
                <w:rFonts w:ascii="宋体" w:hAnsi="宋体" w:hint="eastAsia"/>
                <w:color w:val="000000"/>
                <w:szCs w:val="21"/>
              </w:rPr>
              <w:t>不限</w:t>
            </w:r>
          </w:p>
        </w:tc>
        <w:tc>
          <w:tcPr>
            <w:tcW w:w="2258" w:type="dxa"/>
          </w:tcPr>
          <w:p w:rsidR="00014FD4" w:rsidRPr="009D4B35" w:rsidRDefault="00014FD4" w:rsidP="00E4485E">
            <w:pPr>
              <w:spacing w:line="4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本科：</w:t>
            </w:r>
            <w:r w:rsidRPr="009D4B35">
              <w:rPr>
                <w:rFonts w:ascii="宋体" w:hAnsi="宋体" w:hint="eastAsia"/>
                <w:color w:val="000000"/>
                <w:szCs w:val="21"/>
              </w:rPr>
              <w:t>计算机</w:t>
            </w:r>
            <w:r>
              <w:rPr>
                <w:rFonts w:ascii="宋体" w:hAnsi="宋体" w:hint="eastAsia"/>
                <w:color w:val="000000"/>
                <w:szCs w:val="21"/>
              </w:rPr>
              <w:t>类；研究生：计算机科学与技术。</w:t>
            </w:r>
          </w:p>
        </w:tc>
        <w:tc>
          <w:tcPr>
            <w:tcW w:w="1418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14FD4" w:rsidRPr="009D4B35" w:rsidRDefault="00014FD4" w:rsidP="00E4485E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Merge/>
          </w:tcPr>
          <w:p w:rsidR="00014FD4" w:rsidRPr="009D4B35" w:rsidRDefault="00014FD4" w:rsidP="00E4485E">
            <w:pPr>
              <w:spacing w:line="5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80CEC" w:rsidRPr="00014FD4" w:rsidRDefault="00780CEC"/>
    <w:sectPr w:rsidR="00780CEC" w:rsidRPr="00014FD4" w:rsidSect="00014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94DFA"/>
    <w:multiLevelType w:val="hybridMultilevel"/>
    <w:tmpl w:val="1B6A0CEA"/>
    <w:lvl w:ilvl="0" w:tplc="31F61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FD4"/>
    <w:rsid w:val="00014FD4"/>
    <w:rsid w:val="00271912"/>
    <w:rsid w:val="007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D4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D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F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杨素娟</dc:creator>
  <cp:lastModifiedBy>杨素娟</cp:lastModifiedBy>
  <cp:revision>1</cp:revision>
  <dcterms:created xsi:type="dcterms:W3CDTF">2016-11-03T02:37:00Z</dcterms:created>
  <dcterms:modified xsi:type="dcterms:W3CDTF">2016-11-03T02:38:00Z</dcterms:modified>
</cp:coreProperties>
</file>