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99" w:rsidRPr="00C66899" w:rsidRDefault="00C66899" w:rsidP="00C66899">
      <w:pPr>
        <w:widowControl/>
        <w:spacing w:before="195" w:line="600" w:lineRule="atLeast"/>
        <w:jc w:val="left"/>
        <w:rPr>
          <w:rFonts w:ascii="宋体" w:eastAsia="宋体" w:hAnsi="宋体" w:cs="宋体"/>
          <w:color w:val="666666"/>
          <w:kern w:val="0"/>
          <w:szCs w:val="21"/>
        </w:rPr>
      </w:pPr>
      <w:r w:rsidRPr="00C66899">
        <w:rPr>
          <w:rFonts w:ascii="黑体" w:eastAsia="黑体" w:hAnsi="黑体" w:cs="宋体" w:hint="eastAsia"/>
          <w:color w:val="666666"/>
          <w:kern w:val="0"/>
          <w:sz w:val="30"/>
          <w:szCs w:val="30"/>
        </w:rPr>
        <w:t>附件1</w:t>
      </w:r>
    </w:p>
    <w:p w:rsidR="00C66899" w:rsidRPr="00C66899" w:rsidRDefault="00C66899" w:rsidP="00C66899">
      <w:pPr>
        <w:widowControl/>
        <w:spacing w:before="195" w:line="600" w:lineRule="atLeast"/>
        <w:jc w:val="center"/>
        <w:rPr>
          <w:rFonts w:ascii="宋体" w:eastAsia="宋体" w:hAnsi="宋体" w:cs="宋体"/>
          <w:color w:val="666666"/>
          <w:kern w:val="0"/>
          <w:szCs w:val="21"/>
        </w:rPr>
      </w:pPr>
      <w:r w:rsidRPr="00C66899">
        <w:rPr>
          <w:rFonts w:ascii="黑体" w:eastAsia="黑体" w:hAnsi="黑体" w:cs="宋体" w:hint="eastAsia"/>
          <w:color w:val="666666"/>
          <w:kern w:val="0"/>
          <w:sz w:val="36"/>
          <w:szCs w:val="36"/>
        </w:rPr>
        <w:t>南宁住房公积金管理中心从2017年广西公开遴选公务员笔试合格分数线以上人员中再次遴选公务员进入面试人员名单</w:t>
      </w:r>
    </w:p>
    <w:p w:rsidR="00C66899" w:rsidRPr="00C66899" w:rsidRDefault="00C66899" w:rsidP="00C66899">
      <w:pPr>
        <w:widowControl/>
        <w:spacing w:before="195" w:line="600" w:lineRule="atLeast"/>
        <w:rPr>
          <w:rFonts w:ascii="宋体" w:eastAsia="宋体" w:hAnsi="宋体" w:cs="宋体"/>
          <w:color w:val="666666"/>
          <w:kern w:val="0"/>
          <w:szCs w:val="21"/>
        </w:rPr>
      </w:pPr>
    </w:p>
    <w:p w:rsidR="00C66899" w:rsidRPr="00C66899" w:rsidRDefault="00C66899" w:rsidP="00C66899">
      <w:pPr>
        <w:widowControl/>
        <w:spacing w:before="195" w:line="600" w:lineRule="atLeast"/>
        <w:ind w:firstLine="360"/>
        <w:jc w:val="left"/>
        <w:rPr>
          <w:rFonts w:ascii="宋体" w:eastAsia="宋体" w:hAnsi="宋体" w:cs="宋体"/>
          <w:color w:val="666666"/>
          <w:kern w:val="0"/>
          <w:szCs w:val="21"/>
        </w:rPr>
      </w:pPr>
      <w:r w:rsidRPr="00C66899">
        <w:rPr>
          <w:rFonts w:ascii="仿宋_GB2312" w:eastAsia="仿宋_GB2312" w:hAnsi="Times New Roman" w:cs="Times New Roman" w:hint="eastAsia"/>
          <w:color w:val="666666"/>
          <w:kern w:val="0"/>
          <w:sz w:val="29"/>
          <w:szCs w:val="29"/>
        </w:rPr>
        <w:t>盖章：</w:t>
      </w:r>
      <w:r w:rsidRPr="00C66899">
        <w:rPr>
          <w:rFonts w:ascii="仿宋_GB2312" w:eastAsia="仿宋_GB2312" w:hAnsi="宋体" w:cs="宋体" w:hint="eastAsia"/>
          <w:color w:val="666666"/>
          <w:kern w:val="0"/>
          <w:sz w:val="29"/>
          <w:szCs w:val="29"/>
        </w:rPr>
        <w:t>南宁住房公积金管理中心</w:t>
      </w:r>
      <w:r w:rsidRPr="00C66899">
        <w:rPr>
          <w:rFonts w:ascii="Times New Roman" w:eastAsia="宋体" w:hAnsi="Times New Roman" w:cs="Times New Roman"/>
          <w:color w:val="666666"/>
          <w:kern w:val="0"/>
          <w:sz w:val="29"/>
          <w:szCs w:val="29"/>
        </w:rPr>
        <w:t>    </w:t>
      </w:r>
      <w:r w:rsidRPr="00C66899">
        <w:rPr>
          <w:rFonts w:ascii="仿宋_GB2312" w:eastAsia="仿宋_GB2312" w:hAnsi="Times New Roman" w:cs="Times New Roman" w:hint="eastAsia"/>
          <w:color w:val="666666"/>
          <w:kern w:val="0"/>
          <w:sz w:val="29"/>
          <w:szCs w:val="29"/>
        </w:rPr>
        <w:t>时间：</w:t>
      </w:r>
      <w:r w:rsidRPr="00C66899">
        <w:rPr>
          <w:rFonts w:ascii="仿宋_GB2312" w:eastAsia="仿宋_GB2312" w:hAnsi="宋体" w:cs="宋体" w:hint="eastAsia"/>
          <w:color w:val="666666"/>
          <w:kern w:val="0"/>
          <w:sz w:val="29"/>
          <w:szCs w:val="29"/>
        </w:rPr>
        <w:t>2017年</w:t>
      </w:r>
      <w:r w:rsidRPr="00C66899">
        <w:rPr>
          <w:rFonts w:ascii="Times New Roman" w:eastAsia="仿宋_GB2312" w:hAnsi="Times New Roman" w:cs="Times New Roman"/>
          <w:color w:val="666666"/>
          <w:kern w:val="0"/>
          <w:sz w:val="29"/>
          <w:szCs w:val="29"/>
        </w:rPr>
        <w:t>12</w:t>
      </w:r>
      <w:r w:rsidRPr="00C66899">
        <w:rPr>
          <w:rFonts w:ascii="仿宋_GB2312" w:eastAsia="仿宋_GB2312" w:hAnsi="宋体" w:cs="宋体" w:hint="eastAsia"/>
          <w:color w:val="666666"/>
          <w:kern w:val="0"/>
          <w:sz w:val="29"/>
          <w:szCs w:val="29"/>
        </w:rPr>
        <w:t>月</w:t>
      </w:r>
      <w:r w:rsidRPr="00C66899">
        <w:rPr>
          <w:rFonts w:ascii="Times New Roman" w:eastAsia="仿宋_GB2312" w:hAnsi="Times New Roman" w:cs="Times New Roman"/>
          <w:color w:val="666666"/>
          <w:kern w:val="0"/>
          <w:sz w:val="29"/>
          <w:szCs w:val="29"/>
        </w:rPr>
        <w:t>1</w:t>
      </w:r>
      <w:r w:rsidRPr="00C66899">
        <w:rPr>
          <w:rFonts w:ascii="仿宋_GB2312" w:eastAsia="仿宋_GB2312" w:hAnsi="宋体" w:cs="宋体" w:hint="eastAsia"/>
          <w:color w:val="666666"/>
          <w:kern w:val="0"/>
          <w:sz w:val="29"/>
          <w:szCs w:val="29"/>
        </w:rPr>
        <w:t>日</w:t>
      </w:r>
    </w:p>
    <w:p w:rsidR="00C66899" w:rsidRPr="00C66899" w:rsidRDefault="00C66899" w:rsidP="00C66899">
      <w:pPr>
        <w:widowControl/>
        <w:spacing w:before="195" w:line="600" w:lineRule="atLeast"/>
        <w:jc w:val="left"/>
        <w:rPr>
          <w:rFonts w:ascii="宋体" w:eastAsia="宋体" w:hAnsi="宋体" w:cs="宋体"/>
          <w:color w:val="666666"/>
          <w:kern w:val="0"/>
          <w:szCs w:val="21"/>
        </w:rPr>
      </w:pPr>
    </w:p>
    <w:tbl>
      <w:tblPr>
        <w:tblW w:w="10305" w:type="dxa"/>
        <w:jc w:val="center"/>
        <w:tblCellSpacing w:w="0" w:type="dxa"/>
        <w:tblCellMar>
          <w:left w:w="0" w:type="dxa"/>
          <w:right w:w="0" w:type="dxa"/>
        </w:tblCellMar>
        <w:tblLook w:val="04A0"/>
      </w:tblPr>
      <w:tblGrid>
        <w:gridCol w:w="1080"/>
        <w:gridCol w:w="1080"/>
        <w:gridCol w:w="1080"/>
        <w:gridCol w:w="2745"/>
        <w:gridCol w:w="1080"/>
        <w:gridCol w:w="1080"/>
        <w:gridCol w:w="1080"/>
        <w:gridCol w:w="1080"/>
      </w:tblGrid>
      <w:tr w:rsidR="00C66899" w:rsidRPr="00C66899" w:rsidTr="00C66899">
        <w:trPr>
          <w:trHeight w:val="570"/>
          <w:tblCellSpacing w:w="0" w:type="dxa"/>
          <w:jc w:val="center"/>
        </w:trPr>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Times New Roman" w:eastAsia="宋体" w:hAnsi="Times New Roman" w:cs="Times New Roman"/>
                <w:color w:val="666666"/>
                <w:kern w:val="0"/>
                <w:sz w:val="18"/>
                <w:szCs w:val="18"/>
              </w:rPr>
              <w:t>序号</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Times New Roman" w:eastAsia="宋体" w:hAnsi="Times New Roman" w:cs="Times New Roman"/>
                <w:color w:val="666666"/>
                <w:kern w:val="0"/>
                <w:sz w:val="18"/>
                <w:szCs w:val="18"/>
              </w:rPr>
              <w:t>姓名</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黑体" w:eastAsia="黑体" w:hAnsi="黑体" w:cs="宋体" w:hint="eastAsia"/>
                <w:color w:val="666666"/>
                <w:kern w:val="0"/>
                <w:sz w:val="18"/>
                <w:szCs w:val="18"/>
              </w:rPr>
              <w:t>性别</w:t>
            </w:r>
          </w:p>
        </w:tc>
        <w:tc>
          <w:tcPr>
            <w:tcW w:w="274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笔试准考证号</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遴选机关</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Times New Roman" w:eastAsia="宋体" w:hAnsi="Times New Roman" w:cs="Times New Roman"/>
                <w:color w:val="666666"/>
                <w:kern w:val="0"/>
                <w:sz w:val="18"/>
                <w:szCs w:val="18"/>
              </w:rPr>
              <w:t>用人单位</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报考职位</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职位最低笔试成绩</w:t>
            </w:r>
          </w:p>
        </w:tc>
      </w:tr>
      <w:tr w:rsidR="00C66899" w:rsidRPr="00C66899" w:rsidTr="00C66899">
        <w:trPr>
          <w:trHeight w:val="312"/>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r>
      <w:tr w:rsidR="00C66899" w:rsidRPr="00C66899" w:rsidTr="00C66899">
        <w:trPr>
          <w:trHeight w:val="312"/>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r>
      <w:tr w:rsidR="00C66899" w:rsidRPr="00C66899" w:rsidTr="00C66899">
        <w:trPr>
          <w:trHeight w:val="780"/>
          <w:tblCellSpacing w:w="0" w:type="dxa"/>
          <w:jc w:val="center"/>
        </w:trPr>
        <w:tc>
          <w:tcPr>
            <w:tcW w:w="1080" w:type="dxa"/>
            <w:tcBorders>
              <w:top w:val="nil"/>
              <w:left w:val="single" w:sz="6" w:space="0" w:color="auto"/>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1</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潘莹 </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女</w:t>
            </w:r>
          </w:p>
        </w:tc>
        <w:tc>
          <w:tcPr>
            <w:tcW w:w="2745"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104515012409</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南宁住房公积金管理中心</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铁路分中心综合科</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管理员</w:t>
            </w:r>
          </w:p>
        </w:tc>
        <w:tc>
          <w:tcPr>
            <w:tcW w:w="1080" w:type="dxa"/>
            <w:vMerge w:val="restart"/>
            <w:tcBorders>
              <w:top w:val="nil"/>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71.5</w:t>
            </w:r>
          </w:p>
        </w:tc>
      </w:tr>
      <w:tr w:rsidR="00C66899" w:rsidRPr="00C66899" w:rsidTr="00C66899">
        <w:trPr>
          <w:trHeight w:val="780"/>
          <w:tblCellSpacing w:w="0" w:type="dxa"/>
          <w:jc w:val="center"/>
        </w:trPr>
        <w:tc>
          <w:tcPr>
            <w:tcW w:w="1080" w:type="dxa"/>
            <w:tcBorders>
              <w:top w:val="nil"/>
              <w:left w:val="single" w:sz="6" w:space="0" w:color="auto"/>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2</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阮玲玲</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女</w:t>
            </w:r>
          </w:p>
        </w:tc>
        <w:tc>
          <w:tcPr>
            <w:tcW w:w="2745"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104515060409</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南宁住房公积金管理中心</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铁路分中心综合科</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管理员</w:t>
            </w:r>
          </w:p>
        </w:tc>
        <w:tc>
          <w:tcPr>
            <w:tcW w:w="0" w:type="auto"/>
            <w:vMerge/>
            <w:tcBorders>
              <w:top w:val="nil"/>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r>
      <w:tr w:rsidR="00C66899" w:rsidRPr="00C66899" w:rsidTr="00C66899">
        <w:trPr>
          <w:trHeight w:val="780"/>
          <w:tblCellSpacing w:w="0" w:type="dxa"/>
          <w:jc w:val="center"/>
        </w:trPr>
        <w:tc>
          <w:tcPr>
            <w:tcW w:w="1080" w:type="dxa"/>
            <w:tcBorders>
              <w:top w:val="nil"/>
              <w:left w:val="single" w:sz="6" w:space="0" w:color="auto"/>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3</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杨柳慧</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女</w:t>
            </w:r>
          </w:p>
        </w:tc>
        <w:tc>
          <w:tcPr>
            <w:tcW w:w="2745"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104515010901</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南宁住房公积金管理中心</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铁路分中心综合科</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管理员</w:t>
            </w:r>
          </w:p>
        </w:tc>
        <w:tc>
          <w:tcPr>
            <w:tcW w:w="0" w:type="auto"/>
            <w:vMerge/>
            <w:tcBorders>
              <w:top w:val="nil"/>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r>
    </w:tbl>
    <w:p w:rsidR="00C66899" w:rsidRDefault="00C66899" w:rsidP="00C66899">
      <w:pPr>
        <w:widowControl/>
        <w:spacing w:before="195" w:line="600" w:lineRule="atLeast"/>
        <w:jc w:val="left"/>
        <w:rPr>
          <w:rFonts w:ascii="宋体" w:eastAsia="宋体" w:hAnsi="宋体" w:cs="宋体" w:hint="eastAsia"/>
          <w:color w:val="666666"/>
          <w:kern w:val="0"/>
          <w:szCs w:val="21"/>
        </w:rPr>
      </w:pPr>
    </w:p>
    <w:p w:rsidR="00C66899" w:rsidRDefault="00C66899" w:rsidP="00C66899">
      <w:pPr>
        <w:widowControl/>
        <w:spacing w:before="195" w:line="600" w:lineRule="atLeast"/>
        <w:jc w:val="left"/>
        <w:rPr>
          <w:rFonts w:ascii="宋体" w:eastAsia="宋体" w:hAnsi="宋体" w:cs="宋体" w:hint="eastAsia"/>
          <w:color w:val="666666"/>
          <w:kern w:val="0"/>
          <w:szCs w:val="21"/>
        </w:rPr>
      </w:pPr>
    </w:p>
    <w:p w:rsidR="00C66899" w:rsidRDefault="00C66899" w:rsidP="00C66899">
      <w:pPr>
        <w:widowControl/>
        <w:spacing w:before="195" w:line="600" w:lineRule="atLeast"/>
        <w:jc w:val="left"/>
        <w:rPr>
          <w:rFonts w:ascii="宋体" w:eastAsia="宋体" w:hAnsi="宋体" w:cs="宋体" w:hint="eastAsia"/>
          <w:color w:val="666666"/>
          <w:kern w:val="0"/>
          <w:szCs w:val="21"/>
        </w:rPr>
      </w:pPr>
    </w:p>
    <w:p w:rsidR="00C66899" w:rsidRDefault="00C66899" w:rsidP="00C66899">
      <w:pPr>
        <w:widowControl/>
        <w:spacing w:before="195" w:line="600" w:lineRule="atLeast"/>
        <w:jc w:val="left"/>
        <w:rPr>
          <w:rFonts w:ascii="宋体" w:eastAsia="宋体" w:hAnsi="宋体" w:cs="宋体" w:hint="eastAsia"/>
          <w:color w:val="666666"/>
          <w:kern w:val="0"/>
          <w:szCs w:val="21"/>
        </w:rPr>
      </w:pPr>
    </w:p>
    <w:p w:rsidR="00C66899" w:rsidRPr="00C66899" w:rsidRDefault="00C66899" w:rsidP="00C66899">
      <w:pPr>
        <w:widowControl/>
        <w:spacing w:before="195" w:line="600" w:lineRule="atLeast"/>
        <w:jc w:val="left"/>
        <w:rPr>
          <w:rFonts w:ascii="宋体" w:eastAsia="宋体" w:hAnsi="宋体" w:cs="宋体"/>
          <w:color w:val="666666"/>
          <w:kern w:val="0"/>
          <w:szCs w:val="21"/>
        </w:rPr>
      </w:pPr>
    </w:p>
    <w:p w:rsidR="00C66899" w:rsidRPr="00C66899" w:rsidRDefault="00C66899" w:rsidP="00C66899">
      <w:pPr>
        <w:widowControl/>
        <w:spacing w:before="195" w:line="600" w:lineRule="atLeast"/>
        <w:jc w:val="left"/>
        <w:rPr>
          <w:rFonts w:ascii="宋体" w:eastAsia="宋体" w:hAnsi="宋体" w:cs="宋体"/>
          <w:color w:val="666666"/>
          <w:kern w:val="0"/>
          <w:szCs w:val="21"/>
        </w:rPr>
      </w:pPr>
      <w:r w:rsidRPr="00C66899">
        <w:rPr>
          <w:rFonts w:ascii="黑体" w:eastAsia="黑体" w:hAnsi="黑体" w:cs="宋体" w:hint="eastAsia"/>
          <w:color w:val="666666"/>
          <w:kern w:val="0"/>
          <w:sz w:val="30"/>
          <w:szCs w:val="30"/>
        </w:rPr>
        <w:lastRenderedPageBreak/>
        <w:t>附件2</w:t>
      </w:r>
    </w:p>
    <w:p w:rsidR="00C66899" w:rsidRPr="00C66899" w:rsidRDefault="00C66899" w:rsidP="00C66899">
      <w:pPr>
        <w:widowControl/>
        <w:spacing w:before="195" w:line="600" w:lineRule="atLeast"/>
        <w:jc w:val="center"/>
        <w:rPr>
          <w:rFonts w:ascii="宋体" w:eastAsia="宋体" w:hAnsi="宋体" w:cs="宋体"/>
          <w:color w:val="666666"/>
          <w:kern w:val="0"/>
          <w:szCs w:val="21"/>
        </w:rPr>
      </w:pPr>
      <w:r w:rsidRPr="00C66899">
        <w:rPr>
          <w:rFonts w:ascii="黑体" w:eastAsia="黑体" w:hAnsi="黑体" w:cs="宋体" w:hint="eastAsia"/>
          <w:color w:val="666666"/>
          <w:kern w:val="0"/>
          <w:sz w:val="36"/>
          <w:szCs w:val="36"/>
        </w:rPr>
        <w:t>南宁住房公积金管理中心从2017年广西公开遴选公务员笔试合格分数线以上人员中再次遴选公务员取消面试岗位名单</w:t>
      </w:r>
    </w:p>
    <w:p w:rsidR="00C66899" w:rsidRPr="00C66899" w:rsidRDefault="00C66899" w:rsidP="00C66899">
      <w:pPr>
        <w:widowControl/>
        <w:spacing w:before="195" w:line="600" w:lineRule="atLeast"/>
        <w:ind w:firstLine="360"/>
        <w:jc w:val="center"/>
        <w:rPr>
          <w:rFonts w:ascii="宋体" w:eastAsia="宋体" w:hAnsi="宋体" w:cs="宋体"/>
          <w:color w:val="666666"/>
          <w:kern w:val="0"/>
          <w:szCs w:val="21"/>
        </w:rPr>
      </w:pPr>
    </w:p>
    <w:p w:rsidR="00C66899" w:rsidRPr="00C66899" w:rsidRDefault="00C66899" w:rsidP="00C66899">
      <w:pPr>
        <w:widowControl/>
        <w:spacing w:before="195" w:line="600" w:lineRule="atLeast"/>
        <w:ind w:firstLine="360"/>
        <w:jc w:val="left"/>
        <w:rPr>
          <w:rFonts w:ascii="宋体" w:eastAsia="宋体" w:hAnsi="宋体" w:cs="宋体"/>
          <w:color w:val="666666"/>
          <w:kern w:val="0"/>
          <w:szCs w:val="21"/>
        </w:rPr>
      </w:pPr>
      <w:r w:rsidRPr="00C66899">
        <w:rPr>
          <w:rFonts w:ascii="仿宋_GB2312" w:eastAsia="仿宋_GB2312" w:hAnsi="Times New Roman" w:cs="Times New Roman" w:hint="eastAsia"/>
          <w:color w:val="666666"/>
          <w:kern w:val="0"/>
          <w:sz w:val="29"/>
          <w:szCs w:val="29"/>
        </w:rPr>
        <w:t>盖章：</w:t>
      </w:r>
      <w:r w:rsidRPr="00C66899">
        <w:rPr>
          <w:rFonts w:ascii="仿宋_GB2312" w:eastAsia="仿宋_GB2312" w:hAnsi="宋体" w:cs="宋体" w:hint="eastAsia"/>
          <w:color w:val="666666"/>
          <w:kern w:val="0"/>
          <w:sz w:val="29"/>
          <w:szCs w:val="29"/>
        </w:rPr>
        <w:t>南宁住房公积金管理中心</w:t>
      </w:r>
      <w:r w:rsidRPr="00C66899">
        <w:rPr>
          <w:rFonts w:ascii="Times New Roman" w:eastAsia="宋体" w:hAnsi="Times New Roman" w:cs="Times New Roman"/>
          <w:color w:val="666666"/>
          <w:kern w:val="0"/>
          <w:sz w:val="29"/>
          <w:szCs w:val="29"/>
        </w:rPr>
        <w:t>    </w:t>
      </w:r>
      <w:r w:rsidRPr="00C66899">
        <w:rPr>
          <w:rFonts w:ascii="仿宋_GB2312" w:eastAsia="仿宋_GB2312" w:hAnsi="Times New Roman" w:cs="Times New Roman" w:hint="eastAsia"/>
          <w:color w:val="666666"/>
          <w:kern w:val="0"/>
          <w:sz w:val="29"/>
          <w:szCs w:val="29"/>
        </w:rPr>
        <w:t>时间：</w:t>
      </w:r>
      <w:r w:rsidRPr="00C66899">
        <w:rPr>
          <w:rFonts w:ascii="仿宋_GB2312" w:eastAsia="仿宋_GB2312" w:hAnsi="宋体" w:cs="宋体" w:hint="eastAsia"/>
          <w:color w:val="666666"/>
          <w:kern w:val="0"/>
          <w:sz w:val="29"/>
          <w:szCs w:val="29"/>
        </w:rPr>
        <w:t>2017年</w:t>
      </w:r>
      <w:r w:rsidRPr="00C66899">
        <w:rPr>
          <w:rFonts w:ascii="Times New Roman" w:eastAsia="仿宋_GB2312" w:hAnsi="Times New Roman" w:cs="Times New Roman"/>
          <w:color w:val="666666"/>
          <w:kern w:val="0"/>
          <w:sz w:val="29"/>
          <w:szCs w:val="29"/>
        </w:rPr>
        <w:t>12</w:t>
      </w:r>
      <w:r w:rsidRPr="00C66899">
        <w:rPr>
          <w:rFonts w:ascii="仿宋_GB2312" w:eastAsia="仿宋_GB2312" w:hAnsi="宋体" w:cs="宋体" w:hint="eastAsia"/>
          <w:color w:val="666666"/>
          <w:kern w:val="0"/>
          <w:sz w:val="29"/>
          <w:szCs w:val="29"/>
        </w:rPr>
        <w:t>月</w:t>
      </w:r>
      <w:r w:rsidRPr="00C66899">
        <w:rPr>
          <w:rFonts w:ascii="Times New Roman" w:eastAsia="仿宋_GB2312" w:hAnsi="Times New Roman" w:cs="Times New Roman"/>
          <w:color w:val="666666"/>
          <w:kern w:val="0"/>
          <w:sz w:val="29"/>
          <w:szCs w:val="29"/>
        </w:rPr>
        <w:t>1</w:t>
      </w:r>
      <w:r w:rsidRPr="00C66899">
        <w:rPr>
          <w:rFonts w:ascii="仿宋_GB2312" w:eastAsia="仿宋_GB2312" w:hAnsi="宋体" w:cs="宋体" w:hint="eastAsia"/>
          <w:color w:val="666666"/>
          <w:kern w:val="0"/>
          <w:sz w:val="29"/>
          <w:szCs w:val="29"/>
        </w:rPr>
        <w:t>日</w:t>
      </w:r>
    </w:p>
    <w:p w:rsidR="00C66899" w:rsidRPr="00C66899" w:rsidRDefault="00C66899" w:rsidP="00C66899">
      <w:pPr>
        <w:widowControl/>
        <w:spacing w:before="195" w:line="600" w:lineRule="atLeast"/>
        <w:jc w:val="left"/>
        <w:rPr>
          <w:rFonts w:ascii="宋体" w:eastAsia="宋体" w:hAnsi="宋体" w:cs="宋体"/>
          <w:color w:val="666666"/>
          <w:kern w:val="0"/>
          <w:szCs w:val="21"/>
        </w:rPr>
      </w:pPr>
    </w:p>
    <w:tbl>
      <w:tblPr>
        <w:tblW w:w="0" w:type="auto"/>
        <w:jc w:val="center"/>
        <w:tblCellSpacing w:w="0" w:type="dxa"/>
        <w:tblCellMar>
          <w:left w:w="0" w:type="dxa"/>
          <w:right w:w="0" w:type="dxa"/>
        </w:tblCellMar>
        <w:tblLook w:val="04A0"/>
      </w:tblPr>
      <w:tblGrid>
        <w:gridCol w:w="800"/>
        <w:gridCol w:w="1302"/>
        <w:gridCol w:w="1023"/>
        <w:gridCol w:w="1458"/>
        <w:gridCol w:w="1023"/>
        <w:gridCol w:w="1023"/>
        <w:gridCol w:w="1707"/>
      </w:tblGrid>
      <w:tr w:rsidR="00C66899" w:rsidRPr="00C66899" w:rsidTr="00C66899">
        <w:trPr>
          <w:trHeight w:val="312"/>
          <w:tblCellSpacing w:w="0" w:type="dxa"/>
          <w:jc w:val="center"/>
        </w:trPr>
        <w:tc>
          <w:tcPr>
            <w:tcW w:w="82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Times New Roman" w:eastAsia="宋体" w:hAnsi="Times New Roman" w:cs="Times New Roman"/>
                <w:color w:val="666666"/>
                <w:kern w:val="0"/>
                <w:sz w:val="18"/>
                <w:szCs w:val="18"/>
              </w:rPr>
              <w:t>序号</w:t>
            </w:r>
          </w:p>
        </w:tc>
        <w:tc>
          <w:tcPr>
            <w:tcW w:w="136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Times New Roman" w:eastAsia="宋体" w:hAnsi="Times New Roman" w:cs="Times New Roman"/>
                <w:color w:val="666666"/>
                <w:kern w:val="0"/>
                <w:sz w:val="18"/>
                <w:szCs w:val="18"/>
              </w:rPr>
              <w:t>姓名</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黑体" w:eastAsia="黑体" w:hAnsi="黑体" w:cs="宋体" w:hint="eastAsia"/>
                <w:color w:val="666666"/>
                <w:kern w:val="0"/>
                <w:sz w:val="18"/>
                <w:szCs w:val="18"/>
              </w:rPr>
              <w:t>性别</w:t>
            </w:r>
          </w:p>
        </w:tc>
        <w:tc>
          <w:tcPr>
            <w:tcW w:w="1545"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遴选机关</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Times New Roman" w:eastAsia="宋体" w:hAnsi="Times New Roman" w:cs="Times New Roman"/>
                <w:color w:val="666666"/>
                <w:kern w:val="0"/>
                <w:sz w:val="18"/>
                <w:szCs w:val="18"/>
              </w:rPr>
              <w:t>用人单位</w:t>
            </w:r>
          </w:p>
        </w:tc>
        <w:tc>
          <w:tcPr>
            <w:tcW w:w="108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报考职位</w:t>
            </w:r>
          </w:p>
        </w:tc>
        <w:tc>
          <w:tcPr>
            <w:tcW w:w="180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黑体" w:eastAsia="黑体" w:hAnsi="黑体" w:cs="宋体" w:hint="eastAsia"/>
                <w:color w:val="666666"/>
                <w:kern w:val="0"/>
                <w:sz w:val="18"/>
                <w:szCs w:val="18"/>
              </w:rPr>
              <w:t>备注</w:t>
            </w:r>
          </w:p>
        </w:tc>
      </w:tr>
      <w:tr w:rsidR="00C66899" w:rsidRPr="00C66899" w:rsidTr="00C66899">
        <w:trPr>
          <w:trHeight w:val="312"/>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c>
          <w:tcPr>
            <w:tcW w:w="0" w:type="auto"/>
            <w:vMerge/>
            <w:tcBorders>
              <w:top w:val="single" w:sz="6" w:space="0" w:color="auto"/>
              <w:left w:val="single" w:sz="6" w:space="0" w:color="auto"/>
              <w:bottom w:val="single" w:sz="6" w:space="0" w:color="000000"/>
              <w:right w:val="single" w:sz="6" w:space="0" w:color="auto"/>
            </w:tcBorders>
            <w:vAlign w:val="center"/>
            <w:hideMark/>
          </w:tcPr>
          <w:p w:rsidR="00C66899" w:rsidRPr="00C66899" w:rsidRDefault="00C66899" w:rsidP="00C66899">
            <w:pPr>
              <w:widowControl/>
              <w:jc w:val="left"/>
              <w:rPr>
                <w:rFonts w:ascii="宋体" w:eastAsia="宋体" w:hAnsi="宋体" w:cs="宋体"/>
                <w:color w:val="666666"/>
                <w:kern w:val="0"/>
                <w:sz w:val="18"/>
                <w:szCs w:val="18"/>
              </w:rPr>
            </w:pPr>
          </w:p>
        </w:tc>
      </w:tr>
      <w:tr w:rsidR="00C66899" w:rsidRPr="00C66899" w:rsidTr="00C66899">
        <w:trPr>
          <w:trHeight w:val="1800"/>
          <w:tblCellSpacing w:w="0" w:type="dxa"/>
          <w:jc w:val="center"/>
        </w:trPr>
        <w:tc>
          <w:tcPr>
            <w:tcW w:w="840" w:type="dxa"/>
            <w:tcBorders>
              <w:top w:val="nil"/>
              <w:left w:val="single" w:sz="6" w:space="0" w:color="auto"/>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1</w:t>
            </w:r>
          </w:p>
        </w:tc>
        <w:tc>
          <w:tcPr>
            <w:tcW w:w="1365"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曾天虹 </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女</w:t>
            </w:r>
          </w:p>
        </w:tc>
        <w:tc>
          <w:tcPr>
            <w:tcW w:w="1545"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南宁住房公积金管理中心</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信息科</w:t>
            </w:r>
          </w:p>
        </w:tc>
        <w:tc>
          <w:tcPr>
            <w:tcW w:w="108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管理员</w:t>
            </w:r>
          </w:p>
        </w:tc>
        <w:tc>
          <w:tcPr>
            <w:tcW w:w="1800" w:type="dxa"/>
            <w:tcBorders>
              <w:top w:val="nil"/>
              <w:left w:val="nil"/>
              <w:bottom w:val="single" w:sz="6" w:space="0" w:color="auto"/>
              <w:right w:val="single" w:sz="6" w:space="0" w:color="auto"/>
            </w:tcBorders>
            <w:shd w:val="clear" w:color="auto" w:fill="auto"/>
            <w:vAlign w:val="center"/>
            <w:hideMark/>
          </w:tcPr>
          <w:p w:rsidR="00C66899" w:rsidRPr="00C66899" w:rsidRDefault="00C66899" w:rsidP="00C66899">
            <w:pPr>
              <w:widowControl/>
              <w:jc w:val="left"/>
              <w:rPr>
                <w:rFonts w:ascii="宋体" w:eastAsia="宋体" w:hAnsi="宋体" w:cs="宋体"/>
                <w:color w:val="666666"/>
                <w:kern w:val="0"/>
                <w:sz w:val="18"/>
                <w:szCs w:val="18"/>
              </w:rPr>
            </w:pPr>
            <w:r w:rsidRPr="00C66899">
              <w:rPr>
                <w:rFonts w:ascii="宋体" w:eastAsia="宋体" w:hAnsi="宋体" w:cs="宋体" w:hint="eastAsia"/>
                <w:color w:val="666666"/>
                <w:kern w:val="0"/>
                <w:sz w:val="18"/>
                <w:szCs w:val="18"/>
              </w:rPr>
              <w:t> 因该职位只有1人报名，达不到开考要求，取消该职位面试工作。</w:t>
            </w:r>
          </w:p>
        </w:tc>
      </w:tr>
    </w:tbl>
    <w:p w:rsidR="00DD1006" w:rsidRPr="00C66899" w:rsidRDefault="00DD1006"/>
    <w:sectPr w:rsidR="00DD1006" w:rsidRPr="00C66899" w:rsidSect="00DD10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6899"/>
    <w:rsid w:val="00C66899"/>
    <w:rsid w:val="00DD1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920188">
      <w:bodyDiv w:val="1"/>
      <w:marLeft w:val="0"/>
      <w:marRight w:val="0"/>
      <w:marTop w:val="0"/>
      <w:marBottom w:val="0"/>
      <w:divBdr>
        <w:top w:val="none" w:sz="0" w:space="0" w:color="auto"/>
        <w:left w:val="none" w:sz="0" w:space="0" w:color="auto"/>
        <w:bottom w:val="none" w:sz="0" w:space="0" w:color="auto"/>
        <w:right w:val="none" w:sz="0" w:space="0" w:color="auto"/>
      </w:divBdr>
      <w:divsChild>
        <w:div w:id="1991857714">
          <w:marLeft w:val="0"/>
          <w:marRight w:val="0"/>
          <w:marTop w:val="0"/>
          <w:marBottom w:val="0"/>
          <w:divBdr>
            <w:top w:val="none" w:sz="0" w:space="0" w:color="auto"/>
            <w:left w:val="none" w:sz="0" w:space="0" w:color="auto"/>
            <w:bottom w:val="none" w:sz="0" w:space="0" w:color="auto"/>
            <w:right w:val="none" w:sz="0" w:space="0" w:color="auto"/>
          </w:divBdr>
          <w:divsChild>
            <w:div w:id="398987782">
              <w:marLeft w:val="0"/>
              <w:marRight w:val="0"/>
              <w:marTop w:val="0"/>
              <w:marBottom w:val="0"/>
              <w:divBdr>
                <w:top w:val="none" w:sz="0" w:space="0" w:color="auto"/>
                <w:left w:val="none" w:sz="0" w:space="0" w:color="auto"/>
                <w:bottom w:val="none" w:sz="0" w:space="0" w:color="auto"/>
                <w:right w:val="none" w:sz="0" w:space="0" w:color="auto"/>
              </w:divBdr>
              <w:divsChild>
                <w:div w:id="1380670147">
                  <w:marLeft w:val="0"/>
                  <w:marRight w:val="0"/>
                  <w:marTop w:val="0"/>
                  <w:marBottom w:val="0"/>
                  <w:divBdr>
                    <w:top w:val="none" w:sz="0" w:space="0" w:color="auto"/>
                    <w:left w:val="none" w:sz="0" w:space="0" w:color="auto"/>
                    <w:bottom w:val="none" w:sz="0" w:space="0" w:color="auto"/>
                    <w:right w:val="none" w:sz="0" w:space="0" w:color="auto"/>
                  </w:divBdr>
                  <w:divsChild>
                    <w:div w:id="1608193221">
                      <w:marLeft w:val="0"/>
                      <w:marRight w:val="0"/>
                      <w:marTop w:val="150"/>
                      <w:marBottom w:val="150"/>
                      <w:divBdr>
                        <w:top w:val="single" w:sz="6" w:space="0" w:color="CCCCCC"/>
                        <w:left w:val="single" w:sz="6" w:space="0" w:color="CCCCCC"/>
                        <w:bottom w:val="single" w:sz="6" w:space="0" w:color="CCCCCC"/>
                        <w:right w:val="single" w:sz="6" w:space="0" w:color="CCCCCC"/>
                      </w:divBdr>
                      <w:divsChild>
                        <w:div w:id="809173014">
                          <w:marLeft w:val="0"/>
                          <w:marRight w:val="0"/>
                          <w:marTop w:val="0"/>
                          <w:marBottom w:val="0"/>
                          <w:divBdr>
                            <w:top w:val="none" w:sz="0" w:space="0" w:color="auto"/>
                            <w:left w:val="none" w:sz="0" w:space="0" w:color="auto"/>
                            <w:bottom w:val="none" w:sz="0" w:space="0" w:color="auto"/>
                            <w:right w:val="none" w:sz="0" w:space="0" w:color="auto"/>
                          </w:divBdr>
                          <w:divsChild>
                            <w:div w:id="15466033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Words>
  <Characters>421</Characters>
  <Application>Microsoft Office Word</Application>
  <DocSecurity>0</DocSecurity>
  <Lines>3</Lines>
  <Paragraphs>1</Paragraphs>
  <ScaleCrop>false</ScaleCrop>
  <Company>微软中国</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2017-12-04T02:19:00Z</dcterms:created>
  <dcterms:modified xsi:type="dcterms:W3CDTF">2017-12-04T02:20:00Z</dcterms:modified>
</cp:coreProperties>
</file>